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4BD3" w14:textId="77777777" w:rsidR="00C64B1B" w:rsidRDefault="00C64B1B" w:rsidP="00C64B1B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253"/>
        <w:gridCol w:w="3543"/>
        <w:gridCol w:w="4253"/>
      </w:tblGrid>
      <w:tr w:rsidR="00A06425" w:rsidRPr="00A06425" w14:paraId="1156A081" w14:textId="77777777" w:rsidTr="00DE087E">
        <w:tc>
          <w:tcPr>
            <w:tcW w:w="15588" w:type="dxa"/>
            <w:gridSpan w:val="6"/>
            <w:vAlign w:val="center"/>
          </w:tcPr>
          <w:p w14:paraId="66637A45" w14:textId="1C7D3203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F90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Opis założeń projektu: </w:t>
            </w:r>
            <w:r w:rsidR="00F90C6A" w:rsidRPr="00F90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„System Satelitarnego Monitorowania Upraw Rolnych (S2MUR) – Etap 1”</w:t>
            </w:r>
          </w:p>
        </w:tc>
      </w:tr>
      <w:tr w:rsidR="00A06425" w:rsidRPr="00A06425" w14:paraId="659E5310" w14:textId="77777777" w:rsidTr="00DE087E">
        <w:tc>
          <w:tcPr>
            <w:tcW w:w="562" w:type="dxa"/>
            <w:vAlign w:val="center"/>
          </w:tcPr>
          <w:p w14:paraId="43583CD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2B23FFD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1F1ACA3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253" w:type="dxa"/>
            <w:vAlign w:val="center"/>
          </w:tcPr>
          <w:p w14:paraId="61CCD4D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543" w:type="dxa"/>
            <w:vAlign w:val="center"/>
          </w:tcPr>
          <w:p w14:paraId="0A0EC1D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4253" w:type="dxa"/>
            <w:vAlign w:val="center"/>
          </w:tcPr>
          <w:p w14:paraId="732ECDE9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DE087E" w:rsidRPr="00A06425" w14:paraId="0B9BC697" w14:textId="77777777" w:rsidTr="00DE087E">
        <w:tc>
          <w:tcPr>
            <w:tcW w:w="562" w:type="dxa"/>
          </w:tcPr>
          <w:p w14:paraId="05E56A8D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D355F9D" w14:textId="77777777" w:rsidR="00DE087E" w:rsidRDefault="00DE087E" w:rsidP="00DE087E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13A1F350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 (Koszty zarządzania i wsparcia)</w:t>
            </w:r>
          </w:p>
        </w:tc>
        <w:tc>
          <w:tcPr>
            <w:tcW w:w="4253" w:type="dxa"/>
          </w:tcPr>
          <w:p w14:paraId="46FFFF68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48B3">
              <w:rPr>
                <w:rFonts w:asciiTheme="minorHAnsi" w:hAnsiTheme="minorHAnsi" w:cstheme="minorHAnsi"/>
                <w:sz w:val="22"/>
                <w:szCs w:val="22"/>
              </w:rPr>
              <w:t xml:space="preserve">Zwracam uwagę na bardzo wysoką kwotę w pozycji "koszty pozyskania scen satelitarnych" wynoszącą 4 786 529,60 zł. Jednocześnie dokument wskazuje na wykorzystywanie danych z misji Sentinel-1, Sentinel-2 oraz </w:t>
            </w:r>
            <w:proofErr w:type="spellStart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 xml:space="preserve"> 8/9. Zgodnie z polityką otwartych danych programu Copernicus (ESA) oraz USGS, dane te są udostępniane całkowicie bezpłatnie.</w:t>
            </w:r>
          </w:p>
        </w:tc>
        <w:tc>
          <w:tcPr>
            <w:tcW w:w="3543" w:type="dxa"/>
          </w:tcPr>
          <w:p w14:paraId="65F60D39" w14:textId="77777777" w:rsidR="00DE087E" w:rsidRPr="0082111B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48B3">
              <w:rPr>
                <w:rFonts w:asciiTheme="minorHAnsi" w:hAnsiTheme="minorHAnsi" w:cstheme="minorHAnsi"/>
                <w:sz w:val="22"/>
                <w:szCs w:val="22"/>
              </w:rPr>
              <w:t xml:space="preserve">Należy precyzyjnie wyjaśnić, czy projekt zakłada komercyjny zakup zobrazowań bardzo wysokiej rozdzielczości (VHR), a jeśli tak, to w jakim celu. Jeśli system bazuje wyłącznie na otwartych danych </w:t>
            </w:r>
            <w:proofErr w:type="spellStart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Sentinel</w:t>
            </w:r>
            <w:proofErr w:type="spellEnd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, wskazana kwota blisko 4,8 mln zł jest nieuzasadniona.</w:t>
            </w:r>
          </w:p>
        </w:tc>
        <w:tc>
          <w:tcPr>
            <w:tcW w:w="4253" w:type="dxa"/>
          </w:tcPr>
          <w:p w14:paraId="71C5DA3E" w14:textId="468283A7" w:rsidR="001177DF" w:rsidRPr="001177DF" w:rsidRDefault="001177DF" w:rsidP="001177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 xml:space="preserve">Koszty wskazane w pozycji „pozyskanie scen satelitarnych” należy traktować jako maksymalne, przewidziane na potrzeby zapewnienia pełnej realizacji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>rojektu w różnych możliwych scenariuszach jego rozwoju. System S2MUR w podstawowym zakresie wykorzystuje dane otwarte (</w:t>
            </w:r>
            <w:proofErr w:type="spellStart"/>
            <w:r w:rsidRPr="001177DF">
              <w:rPr>
                <w:rFonts w:asciiTheme="minorHAnsi" w:hAnsiTheme="minorHAnsi" w:cstheme="minorHAnsi"/>
                <w:sz w:val="22"/>
                <w:szCs w:val="22"/>
              </w:rPr>
              <w:t>Sentinel</w:t>
            </w:r>
            <w:proofErr w:type="spellEnd"/>
            <w:r w:rsidRPr="001177D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1177DF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1177DF">
              <w:rPr>
                <w:rFonts w:asciiTheme="minorHAnsi" w:hAnsiTheme="minorHAnsi" w:cstheme="minorHAnsi"/>
                <w:sz w:val="22"/>
                <w:szCs w:val="22"/>
              </w:rPr>
              <w:t xml:space="preserve">), jednak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>rojekt obejmuje również komponent badawczo-rozwojowy, w ramach którego analizowane będą różne źródła danych pod kątem poprawy jakości modeli.</w:t>
            </w:r>
          </w:p>
          <w:p w14:paraId="4E5262E0" w14:textId="12E4800B" w:rsidR="001177DF" w:rsidRPr="001177DF" w:rsidRDefault="001177DF" w:rsidP="001177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 xml:space="preserve">Na obecnym etapie nie zakłada się obligatoryjnego wykorzystania danych komercyjnych VHR, natomiast nie wyklucza się ich ewentualnego użycia w ograniczonym zakresie (np. do celów walidacyjnych lub testowych). Decyzja w tym zakresie zostanie podjęta na dalszym etapie realizacji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>rojektu, w oparciu o rekomendacje wykonawcy systemu (IUNG-PIB).</w:t>
            </w:r>
          </w:p>
          <w:p w14:paraId="2B6638BF" w14:textId="6175D2AB" w:rsidR="00DE087E" w:rsidRPr="001177DF" w:rsidRDefault="001177DF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 xml:space="preserve">W związku z powyższym wskazana kwota stanowi zabezpieczenie finansowe dla potencjalnych potrzeb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177DF">
              <w:rPr>
                <w:rFonts w:asciiTheme="minorHAnsi" w:hAnsiTheme="minorHAnsi" w:cstheme="minorHAnsi"/>
                <w:sz w:val="22"/>
                <w:szCs w:val="22"/>
              </w:rPr>
              <w:t>rojektu i nie oznacza automatycznego poniesienia wydatków na zakup danych komercyjnych.</w:t>
            </w:r>
          </w:p>
        </w:tc>
      </w:tr>
      <w:tr w:rsidR="00DE087E" w:rsidRPr="00A06425" w14:paraId="2E382974" w14:textId="77777777" w:rsidTr="00DE087E">
        <w:tc>
          <w:tcPr>
            <w:tcW w:w="562" w:type="dxa"/>
          </w:tcPr>
          <w:p w14:paraId="721E421B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DDAE8F1" w14:textId="77777777" w:rsidR="00DE087E" w:rsidRDefault="00DE087E" w:rsidP="00DE087E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22272504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>7.1. Widok kooperacji aplikacji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Lista</w:t>
            </w: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 xml:space="preserve"> przepływów, Lp. 10 - MZP)</w:t>
            </w:r>
          </w:p>
        </w:tc>
        <w:tc>
          <w:tcPr>
            <w:tcW w:w="4253" w:type="dxa"/>
          </w:tcPr>
          <w:p w14:paraId="52C3DE86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W architekturze wymiany danych wskazano pobieranie Numerycznego Modelu Terenu (NMT) o rozdzielczości 10 m za pośrednictwem systemu MZP. Obecnie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GUGiK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udostępnia darmowe dane NMT z </w:t>
            </w: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lotniczego skaningu laserowego (ALS) o znacznie wyższej rozdzielczości (1 m). Ponadto pobieranie danych bazowych (NMT) za pośrednictwem lokalnego systemu dziedzinowego (MZP) jest architektonicznie nieoptymalne.</w:t>
            </w:r>
          </w:p>
        </w:tc>
        <w:tc>
          <w:tcPr>
            <w:tcW w:w="3543" w:type="dxa"/>
          </w:tcPr>
          <w:p w14:paraId="3F3C8CE0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Zaleca się pobieranie aktualnego i dokładniejszego NMT (1 m) bezpośrednio z węzła infrastruktury informacji przestrzennej (usługi </w:t>
            </w: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WCS/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Geoportal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udostępniane przez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GUGiK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) z pominięciem systemu MZP.</w:t>
            </w:r>
          </w:p>
        </w:tc>
        <w:tc>
          <w:tcPr>
            <w:tcW w:w="4253" w:type="dxa"/>
          </w:tcPr>
          <w:p w14:paraId="3066E28C" w14:textId="5B69780E" w:rsidR="00DE087E" w:rsidRPr="003B5598" w:rsidRDefault="00437045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 potrzeby realizacji Projektu podmiot odpowiedzialny za budowę systemu IT dysponuje</w:t>
            </w:r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źródłową wersję NMT o rozdzielczości 1m, dla całego obszaru kraju, udostępnioną przez </w:t>
            </w:r>
            <w:proofErr w:type="spellStart"/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>GUGiK</w:t>
            </w:r>
            <w:proofErr w:type="spellEnd"/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. Na potrzeby </w:t>
            </w:r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prowadzenia monitoringu </w:t>
            </w:r>
            <w:proofErr w:type="spellStart"/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>zalań</w:t>
            </w:r>
            <w:proofErr w:type="spellEnd"/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i podtopień TUZ,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dane</w:t>
            </w:r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został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przekształcon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DE087E"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do mapy indeksu względnego zróżnicowania terenu o rozdzielczości 10m.  Dane te są zoptymalizowane obecnie dla prowadzenia zarówno monitoringu nadmiernej jak też niedostatecznej wilgotności gleby. </w:t>
            </w:r>
          </w:p>
          <w:p w14:paraId="10F5512F" w14:textId="4042993C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>Pobieranie i przetwarzanie tych danych zostało również zoptymalizowane w architekturze I</w:t>
            </w:r>
            <w:r w:rsidR="00437045">
              <w:rPr>
                <w:rFonts w:asciiTheme="minorHAnsi" w:hAnsiTheme="minorHAnsi" w:cstheme="minorHAnsi"/>
                <w:sz w:val="22"/>
                <w:szCs w:val="22"/>
              </w:rPr>
              <w:t>UNG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i potwierdzone testami</w:t>
            </w:r>
            <w:r w:rsidR="004370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7045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>związku z</w:t>
            </w:r>
            <w:r w:rsidR="00437045">
              <w:rPr>
                <w:rFonts w:asciiTheme="minorHAnsi" w:hAnsiTheme="minorHAnsi" w:cstheme="minorHAnsi"/>
                <w:sz w:val="22"/>
                <w:szCs w:val="22"/>
              </w:rPr>
              <w:t xml:space="preserve"> powyższym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uwaga o braku takiej optymalizacji jest niezasadna.</w:t>
            </w:r>
          </w:p>
        </w:tc>
      </w:tr>
      <w:tr w:rsidR="00DE087E" w:rsidRPr="00A06425" w14:paraId="1FC55921" w14:textId="77777777" w:rsidTr="00DE087E">
        <w:tc>
          <w:tcPr>
            <w:tcW w:w="562" w:type="dxa"/>
          </w:tcPr>
          <w:p w14:paraId="3B9B1584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14:paraId="479542A4" w14:textId="77777777" w:rsidR="00DE087E" w:rsidRDefault="00DE087E" w:rsidP="00DE087E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442A77AD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</w:p>
        </w:tc>
        <w:tc>
          <w:tcPr>
            <w:tcW w:w="4253" w:type="dxa"/>
          </w:tcPr>
          <w:p w14:paraId="2C3E097B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Występuje niespójność nazewnictwa w obszarze teledetekcyjnym. W tabeli przepływów mowa jest o danych z Sentinel-1 lub Sentinel-2, natomiast w tabeli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jako alternatywy wymieniono „Sentinel-1,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8/9”. Sentinel-1 to sensor radarowy (SAR), natomiast Sentinel-2 i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to sensory optyczne. Nie można ich stosować zamiennie w modelach ze względu na zupełnie inną fizykę obrazowania.</w:t>
            </w:r>
          </w:p>
        </w:tc>
        <w:tc>
          <w:tcPr>
            <w:tcW w:w="3543" w:type="dxa"/>
          </w:tcPr>
          <w:p w14:paraId="62FE8128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Proszę o ujednolicenie nazw misji i poprawne zdefiniowanie planów awaryjnych (np. alternatywą dla Sentinel-2 jest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, ale dla Sentinel-1 należy wskazać inne misje SAR lub opisać modyfikację algorytmu).</w:t>
            </w:r>
          </w:p>
        </w:tc>
        <w:tc>
          <w:tcPr>
            <w:tcW w:w="4253" w:type="dxa"/>
          </w:tcPr>
          <w:p w14:paraId="0C915CF9" w14:textId="6621009F" w:rsidR="00DE087E" w:rsidRPr="003B5598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W obecnie 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>przyjętym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zakresie budowy systemu S2MUR przewiduje się wykorzystanie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 xml:space="preserve">, w procesach obliczeniowych, 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>jedynie danych Sentinel-2. Wynika to z ograniczenia pierwotnych założeń projektu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 xml:space="preserve"> S2MUR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E173E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W związku z tym odwołanie się do danych Sentinel-1 w tabeli przepływów </w:t>
            </w:r>
            <w:r w:rsidR="002C65CD" w:rsidRPr="00E173E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w OZPI </w:t>
            </w:r>
            <w:r w:rsidRPr="00E173E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zostało usunięte.</w:t>
            </w:r>
          </w:p>
          <w:p w14:paraId="58ADD4B0" w14:textId="7E27CBD8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obecnie przyjętych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założeniach nie występuje ryzyko braku danych (ograniczonych zachmurzeniem), ponieważ modele rozwoju roślin i szacowania strat będą budowane z użyciem danych archiwalnych (Sentinel-2, mapy KBW, dane ARiMR). Natomiast ryzyko takie 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 xml:space="preserve">może 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>wystąpi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podczas wdrożenia systemu i jego pracy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>. Z tego powodu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zakłada się aktualizacj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 modeli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(po zakończeniu I etapu 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>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 xml:space="preserve">poprzez wykorzystanie również innych danych teledetekcyjnych, jednak ten proces będzie prowadzony już w ramach SMSR po integracji 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Pr="003B5598">
              <w:rPr>
                <w:rFonts w:asciiTheme="minorHAnsi" w:hAnsiTheme="minorHAnsi" w:cstheme="minorHAnsi"/>
                <w:sz w:val="22"/>
                <w:szCs w:val="22"/>
              </w:rPr>
              <w:t>S2MUR</w:t>
            </w:r>
            <w:r w:rsidR="002C65C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E087E" w:rsidRPr="00A06425" w14:paraId="2A71CA92" w14:textId="77777777" w:rsidTr="00DE087E">
        <w:tc>
          <w:tcPr>
            <w:tcW w:w="562" w:type="dxa"/>
          </w:tcPr>
          <w:p w14:paraId="70F8FDC2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1B2BF337" w14:textId="77777777" w:rsidR="00DE087E" w:rsidRDefault="00DE087E" w:rsidP="00DE087E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001E42A7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 xml:space="preserve">2.1. Cele i korzyści wynikające z </w:t>
            </w:r>
            <w:r w:rsidRPr="008211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projektu (Tabela KPI, Cel-1</w:t>
            </w:r>
          </w:p>
        </w:tc>
        <w:tc>
          <w:tcPr>
            <w:tcW w:w="4253" w:type="dxa"/>
          </w:tcPr>
          <w:p w14:paraId="23EFA097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Wartość docelowa KPI 1 zakłada zmniejszenie minimalnej wyróżnialnej powierzchni na mapie podatności gleb na suszę do 100 m2 (piksel 10x10 m). </w:t>
            </w: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Osiągnięcie tak wysokiej rozdzielczości dla cech profilu glebowego w skali kraju, z wykorzystaniem głównie danych satelitarnych, jest wysoce dyskusyjne naukowo. Sensory satelitarne (np. Sentinel-2) rejestrują jedynie parametry powierzchniowe.</w:t>
            </w:r>
          </w:p>
        </w:tc>
        <w:tc>
          <w:tcPr>
            <w:tcW w:w="3543" w:type="dxa"/>
          </w:tcPr>
          <w:p w14:paraId="3AF082DF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Proszę o urealnienie wartości docelowej KPI 1 lub szczegółowe wyjaśnienie metodyki, która pozwoli na wygenerowanie i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zwalidowanie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mapy glebowej o rozdzielczości 100 m2 dla całej Polski</w:t>
            </w:r>
          </w:p>
        </w:tc>
        <w:tc>
          <w:tcPr>
            <w:tcW w:w="4253" w:type="dxa"/>
          </w:tcPr>
          <w:p w14:paraId="3E7B973C" w14:textId="77777777" w:rsidR="00DE087E" w:rsidRPr="00A06425" w:rsidRDefault="00DE087E" w:rsidP="00DE087E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C3A4AD2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Założona rozdzielczość jest konieczna w przypadku szacowania strat w skali działek rolnych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– czego wymaga np. Aplikacja Susza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>. Dotyc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h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 xml:space="preserve">czas prowadzone prace B+R w 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ramach SMSR potwierdziły mo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ż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>liwość osiągnięcia takiej dokładności w przypadku uszczegółowienia mapy kategorii podatno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ś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 xml:space="preserve">ci gleb na suszę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–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wyniki zostały opublikowane jako artykuł naukowy w czasopiśmie Remote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</w:rPr>
              <w:t>Sensing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</w:rPr>
              <w:t>:</w:t>
            </w:r>
          </w:p>
          <w:p w14:paraId="2665ACF1" w14:textId="77777777" w:rsidR="00DE087E" w:rsidRPr="0033556E" w:rsidRDefault="00DE087E" w:rsidP="00DE087E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00052D42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Increasing Accuracy of the Soil-Agricultural Map by Sentinel-2 Images Analysis—Case Study of Maize Cultivation under Drought Conditions</w:t>
            </w:r>
            <w:r w:rsidRPr="0033556E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 xml:space="preserve">, DOI: 10.3390/rs15051281 </w:t>
            </w:r>
          </w:p>
          <w:p w14:paraId="37D967D9" w14:textId="25A872B8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1C3A4AD2">
              <w:rPr>
                <w:rFonts w:asciiTheme="minorHAnsi" w:hAnsiTheme="minorHAnsi" w:cstheme="minorBidi"/>
                <w:sz w:val="22"/>
                <w:szCs w:val="22"/>
              </w:rPr>
              <w:t>Mo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ż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>liwość tą potwierdziły również prace pilota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ż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 xml:space="preserve">owe w woj.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l</w:t>
            </w:r>
            <w:r w:rsidRPr="1C3A4AD2">
              <w:rPr>
                <w:rFonts w:asciiTheme="minorHAnsi" w:hAnsiTheme="minorHAnsi" w:cstheme="minorBidi"/>
                <w:sz w:val="22"/>
                <w:szCs w:val="22"/>
              </w:rPr>
              <w:t>ubuskim przeprowadzone w 2025 w ramach SMSR – publikacja w przygotowaniu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</w:tr>
      <w:tr w:rsidR="00DE087E" w:rsidRPr="00A06425" w14:paraId="5B6572C0" w14:textId="77777777" w:rsidTr="00DE087E">
        <w:tc>
          <w:tcPr>
            <w:tcW w:w="562" w:type="dxa"/>
          </w:tcPr>
          <w:p w14:paraId="6A751B9A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</w:tcPr>
          <w:p w14:paraId="29B0D79C" w14:textId="77777777" w:rsidR="00DE087E" w:rsidRDefault="00DE087E" w:rsidP="00DE087E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004C4E66" w14:textId="77777777" w:rsidR="00DE087E" w:rsidRPr="0082111B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</w:p>
        </w:tc>
        <w:tc>
          <w:tcPr>
            <w:tcW w:w="4253" w:type="dxa"/>
          </w:tcPr>
          <w:p w14:paraId="0A68408D" w14:textId="77777777" w:rsidR="00DE087E" w:rsidRPr="009B5F32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W rejestrze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całkowicie pominięto kluczowe ryzyko operacyjne dla systemów teledetekcyjnych w naszej szerokości geograficznej – długotrwałe zachmurzenie. Ponieważ sensory optyczne (Sentinel-2,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) nie przenikają przez chmury, brak odpowiedniej liczby bezchmurnych scen w kluczowych fazach rozwoju roślin może uniemożliwić prawidłowe działanie modeli uprawowych i suszowych.</w:t>
            </w:r>
          </w:p>
        </w:tc>
        <w:tc>
          <w:tcPr>
            <w:tcW w:w="3543" w:type="dxa"/>
          </w:tcPr>
          <w:p w14:paraId="5C811C1E" w14:textId="77777777" w:rsidR="00DE087E" w:rsidRPr="009B5F32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Należy dodać ryzyko "Brak użytecznych danych z sensorów optycznych z powodu długotrwałego zachmurzenia" oraz wskazać sposób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mitygacji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(np. większy nacisk na fuzję z danymi radarowymi SAR z Sentinel-1).</w:t>
            </w:r>
          </w:p>
        </w:tc>
        <w:tc>
          <w:tcPr>
            <w:tcW w:w="4253" w:type="dxa"/>
          </w:tcPr>
          <w:p w14:paraId="60208A45" w14:textId="2686005F" w:rsidR="00DE087E" w:rsidRPr="009D2B4C" w:rsidRDefault="00FF5A60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P</w:t>
            </w:r>
            <w:r w:rsidR="00DE087E" w:rsidRPr="1C3A4AD2">
              <w:rPr>
                <w:rFonts w:asciiTheme="minorHAnsi" w:hAnsiTheme="minorHAnsi" w:cstheme="minorBidi"/>
                <w:sz w:val="22"/>
                <w:szCs w:val="22"/>
              </w:rPr>
              <w:t xml:space="preserve">atrz odniesienie się do uwagi nr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3.</w:t>
            </w:r>
          </w:p>
        </w:tc>
      </w:tr>
      <w:tr w:rsidR="00DE087E" w:rsidRPr="00A06425" w14:paraId="263EC6B9" w14:textId="77777777" w:rsidTr="00DE087E">
        <w:trPr>
          <w:trHeight w:val="1262"/>
        </w:trPr>
        <w:tc>
          <w:tcPr>
            <w:tcW w:w="562" w:type="dxa"/>
          </w:tcPr>
          <w:p w14:paraId="5DF008FD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C95B88F" w14:textId="77777777" w:rsidR="00DE087E" w:rsidRPr="00A06425" w:rsidRDefault="00DE087E" w:rsidP="00DE087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76D6404E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Str. 16 pkt 6 (Otoczenie prawne) wiersz 3 tabeli </w:t>
            </w:r>
          </w:p>
        </w:tc>
        <w:tc>
          <w:tcPr>
            <w:tcW w:w="4253" w:type="dxa"/>
          </w:tcPr>
          <w:p w14:paraId="146DE1EE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W wierszu „Ustawa z dnia 5 lipca 2018 r. o krajowym systemie </w:t>
            </w:r>
            <w:proofErr w:type="spellStart"/>
            <w:r w:rsidRPr="008F5DB4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 (Dz.U. z 2024 r. poz. 1077, z </w:t>
            </w:r>
            <w:proofErr w:type="spellStart"/>
            <w:r w:rsidRPr="008F5DB4">
              <w:rPr>
                <w:rFonts w:asciiTheme="minorHAnsi" w:hAnsiTheme="minorHAnsi" w:cstheme="minorHAnsi"/>
                <w:sz w:val="22"/>
                <w:szCs w:val="22"/>
              </w:rPr>
              <w:t>późn</w:t>
            </w:r>
            <w:proofErr w:type="spellEnd"/>
            <w:r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. zm.”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błędne odniesienie do dziennika ustaw</w:t>
            </w:r>
          </w:p>
        </w:tc>
        <w:tc>
          <w:tcPr>
            <w:tcW w:w="3543" w:type="dxa"/>
          </w:tcPr>
          <w:p w14:paraId="56812906" w14:textId="77777777" w:rsidR="00DE087E" w:rsidRPr="003F04DE" w:rsidRDefault="00DE087E" w:rsidP="00DE087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Ustawa</w:t>
            </w: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z dnia 5 lipca 2018 r. o krajowym systemie </w:t>
            </w:r>
            <w:proofErr w:type="spellStart"/>
            <w:r w:rsidRPr="008F5DB4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>Dz. U. 2026 poz. 20, tekst jednolity)</w:t>
            </w:r>
          </w:p>
          <w:p w14:paraId="340FA28C" w14:textId="77777777" w:rsidR="00DE087E" w:rsidRPr="003F04DE" w:rsidRDefault="00DE087E" w:rsidP="00DE087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DBA6C1" w14:textId="77777777" w:rsidR="00DE087E" w:rsidRPr="003F04DE" w:rsidRDefault="00DE087E" w:rsidP="00DE087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3992868" w14:textId="77777777" w:rsidR="00DE087E" w:rsidRPr="003F04DE" w:rsidRDefault="00DE087E" w:rsidP="00DE087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65B00601" w14:textId="77777777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E3479B" w14:textId="5663B10F" w:rsidR="00DE087E" w:rsidRPr="00A06425" w:rsidRDefault="00DE087E" w:rsidP="00FF5A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5FD2">
              <w:rPr>
                <w:rFonts w:asciiTheme="minorHAnsi" w:hAnsiTheme="minorHAnsi" w:cstheme="minorHAnsi"/>
                <w:sz w:val="22"/>
                <w:szCs w:val="22"/>
              </w:rPr>
              <w:t>Skorygowano zapis w OZPI.</w:t>
            </w:r>
          </w:p>
        </w:tc>
      </w:tr>
      <w:tr w:rsidR="00DE087E" w:rsidRPr="00A06425" w14:paraId="76FF0097" w14:textId="77777777" w:rsidTr="00DE087E">
        <w:tc>
          <w:tcPr>
            <w:tcW w:w="562" w:type="dxa"/>
          </w:tcPr>
          <w:p w14:paraId="515A70A3" w14:textId="77777777" w:rsidR="00DE087E" w:rsidRPr="00A06425" w:rsidRDefault="00DE087E" w:rsidP="00DE087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59FF75B" w14:textId="77777777" w:rsidR="00DE087E" w:rsidRDefault="00DE087E" w:rsidP="00DE087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34E1253E" w14:textId="77777777" w:rsidR="00DE087E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 do dokumentu</w:t>
            </w:r>
          </w:p>
        </w:tc>
        <w:tc>
          <w:tcPr>
            <w:tcW w:w="4253" w:type="dxa"/>
          </w:tcPr>
          <w:p w14:paraId="3C5E846E" w14:textId="77777777" w:rsidR="00DE087E" w:rsidRPr="008F5DB4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6DC">
              <w:rPr>
                <w:rFonts w:asciiTheme="minorHAnsi" w:hAnsiTheme="minorHAnsi" w:cstheme="minorHAnsi"/>
                <w:sz w:val="22"/>
                <w:szCs w:val="22"/>
              </w:rPr>
              <w:t xml:space="preserve">Dokument „Opis założeń projektu informatycznego: System Satelitarnego Monitorowania Upraw Rolnych (S2MUR) – Etap 1” przedstawia spójny i dobrze uzasadniony koncepcyjnie opis systemu wspierającego monitorowanie upraw </w:t>
            </w:r>
            <w:r w:rsidRPr="00EA76D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rolnych w oparciu o dane satelitarne, meteorologiczne, glebowe i statystyczne. Projekt wpisuje się w rozwój analityki danych przestrzennych oraz szersze wykorzystanie zobrazowań satelitarnych w administracji publicznej, w szczególności w monitorowaniu skutków suszy. Zwraca się jednak uwagę na konieczność doprecyzowania kwestii zarządzania danymi, ich jakości, metadanych, interoperacyjności z krajowymi rejestrami referencyjnymi, a także zasad stosowania identyfikatorów przestrzennych oraz określenia sposobu i poziomu udostępniania danych w </w:t>
            </w:r>
            <w:proofErr w:type="spellStart"/>
            <w:r w:rsidRPr="00EA76DC">
              <w:rPr>
                <w:rFonts w:asciiTheme="minorHAnsi" w:hAnsiTheme="minorHAnsi" w:cstheme="minorHAnsi"/>
                <w:sz w:val="22"/>
                <w:szCs w:val="22"/>
              </w:rPr>
              <w:t>Geoserwisie</w:t>
            </w:r>
            <w:proofErr w:type="spellEnd"/>
            <w:r w:rsidRPr="00EA76DC">
              <w:rPr>
                <w:rFonts w:asciiTheme="minorHAnsi" w:hAnsiTheme="minorHAnsi" w:cstheme="minorHAnsi"/>
                <w:sz w:val="22"/>
                <w:szCs w:val="22"/>
              </w:rPr>
              <w:t xml:space="preserve"> Suszowym.</w:t>
            </w:r>
          </w:p>
        </w:tc>
        <w:tc>
          <w:tcPr>
            <w:tcW w:w="3543" w:type="dxa"/>
          </w:tcPr>
          <w:p w14:paraId="110B3FB0" w14:textId="77777777" w:rsidR="00DE087E" w:rsidRDefault="00DE087E" w:rsidP="00DE087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7797009A" w14:textId="6619014A" w:rsidR="00DE087E" w:rsidRPr="00A06425" w:rsidRDefault="00DE087E" w:rsidP="00DE08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Uwaga zbieżna z </w:t>
            </w:r>
            <w:r w:rsidR="0009679F">
              <w:rPr>
                <w:rFonts w:asciiTheme="minorHAnsi" w:hAnsiTheme="minorHAnsi" w:cstheme="minorHAnsi"/>
                <w:sz w:val="22"/>
                <w:szCs w:val="22"/>
              </w:rPr>
              <w:t xml:space="preserve">rekomendacjami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Ministerstwa Cyfryzacji dotycząc</w:t>
            </w:r>
            <w:r w:rsidR="0009679F">
              <w:rPr>
                <w:rFonts w:asciiTheme="minorHAnsi" w:hAnsiTheme="minorHAnsi" w:cstheme="minorHAnsi"/>
                <w:sz w:val="22"/>
                <w:szCs w:val="22"/>
              </w:rPr>
              <w:t>ymi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otwartości</w:t>
            </w:r>
            <w:r w:rsidR="0009679F">
              <w:rPr>
                <w:rFonts w:asciiTheme="minorHAnsi" w:hAnsiTheme="minorHAnsi" w:cstheme="minorHAnsi"/>
                <w:sz w:val="22"/>
                <w:szCs w:val="22"/>
              </w:rPr>
              <w:t xml:space="preserve"> danych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Zostanie ona uwzględniona na etapie projektowania architektury systemu S2MUR.</w:t>
            </w:r>
          </w:p>
        </w:tc>
      </w:tr>
    </w:tbl>
    <w:p w14:paraId="2FC68962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9679F"/>
    <w:rsid w:val="000D6F81"/>
    <w:rsid w:val="001177DF"/>
    <w:rsid w:val="00140BE8"/>
    <w:rsid w:val="0019648E"/>
    <w:rsid w:val="002715B2"/>
    <w:rsid w:val="002C65CD"/>
    <w:rsid w:val="002E797B"/>
    <w:rsid w:val="003124D1"/>
    <w:rsid w:val="003B4105"/>
    <w:rsid w:val="003F04DE"/>
    <w:rsid w:val="00437045"/>
    <w:rsid w:val="00445A30"/>
    <w:rsid w:val="004A08A8"/>
    <w:rsid w:val="004D086F"/>
    <w:rsid w:val="005F5EEE"/>
    <w:rsid w:val="005F6527"/>
    <w:rsid w:val="00624EDD"/>
    <w:rsid w:val="006705EC"/>
    <w:rsid w:val="006D31E0"/>
    <w:rsid w:val="006E16E9"/>
    <w:rsid w:val="007D523D"/>
    <w:rsid w:val="00807385"/>
    <w:rsid w:val="008A5FD2"/>
    <w:rsid w:val="008F5DB4"/>
    <w:rsid w:val="00944932"/>
    <w:rsid w:val="009E5FDB"/>
    <w:rsid w:val="00A06425"/>
    <w:rsid w:val="00A07892"/>
    <w:rsid w:val="00AC7796"/>
    <w:rsid w:val="00B871B6"/>
    <w:rsid w:val="00BD0692"/>
    <w:rsid w:val="00C64B1B"/>
    <w:rsid w:val="00CD5EB0"/>
    <w:rsid w:val="00D20283"/>
    <w:rsid w:val="00DE087E"/>
    <w:rsid w:val="00E14C33"/>
    <w:rsid w:val="00E173E0"/>
    <w:rsid w:val="00E236A3"/>
    <w:rsid w:val="00EA76DC"/>
    <w:rsid w:val="00F17703"/>
    <w:rsid w:val="00F90C6A"/>
    <w:rsid w:val="00FB715E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730C48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DE08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87E"/>
    <w:rPr>
      <w:rFonts w:ascii="Calibri" w:eastAsia="Calibri" w:hAnsi="Calibri" w:cs="Calibri"/>
      <w:iCs/>
      <w:color w:val="000000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87E"/>
    <w:rPr>
      <w:rFonts w:ascii="Calibri" w:eastAsia="Calibri" w:hAnsi="Calibri" w:cs="Calibri"/>
      <w:iCs/>
      <w:color w:val="000000"/>
      <w:kern w:val="2"/>
      <w14:ligatures w14:val="standardContextual"/>
    </w:rPr>
  </w:style>
  <w:style w:type="paragraph" w:styleId="Poprawka">
    <w:name w:val="Revision"/>
    <w:hidden/>
    <w:uiPriority w:val="99"/>
    <w:semiHidden/>
    <w:rsid w:val="005F5EEE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09679F"/>
    <w:rPr>
      <w:rFonts w:ascii="Times New Roman" w:eastAsia="Times New Roman" w:hAnsi="Times New Roman" w:cs="Times New Roman"/>
      <w:b/>
      <w:bCs/>
      <w:iCs w:val="0"/>
      <w:color w:val="auto"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rsid w:val="0009679F"/>
    <w:rPr>
      <w:rFonts w:ascii="Calibri" w:eastAsia="Calibri" w:hAnsi="Calibri" w:cs="Calibri"/>
      <w:b/>
      <w:bCs/>
      <w:iCs w:val="0"/>
      <w:color w:val="000000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Przybyszewska Magdalena</cp:lastModifiedBy>
  <cp:revision>4</cp:revision>
  <dcterms:created xsi:type="dcterms:W3CDTF">2026-03-19T11:49:00Z</dcterms:created>
  <dcterms:modified xsi:type="dcterms:W3CDTF">2026-03-19T13:42:00Z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GUS-MJ-06.0870.1.2026.38</vt:lpwstr>
  </property>
  <property fmtid="{D5CDD505-2E9C-101B-9397-08002B2CF9AE}" pid="3" name="UNPPisma">
    <vt:lpwstr>2026-50219</vt:lpwstr>
  </property>
  <property fmtid="{D5CDD505-2E9C-101B-9397-08002B2CF9AE}" pid="4" name="ZnakSprawy">
    <vt:lpwstr>GUS-MJ-06.0870.1.2026</vt:lpwstr>
  </property>
  <property fmtid="{D5CDD505-2E9C-101B-9397-08002B2CF9AE}" pid="5" name="ZnakSprawy2">
    <vt:lpwstr>Znak sprawy: GUS-MJ-06.0870.1.2026</vt:lpwstr>
  </property>
  <property fmtid="{D5CDD505-2E9C-101B-9397-08002B2CF9AE}" pid="6" name="AktualnaDataSlownie">
    <vt:lpwstr>12 marca 2026</vt:lpwstr>
  </property>
  <property fmtid="{D5CDD505-2E9C-101B-9397-08002B2CF9AE}" pid="7" name="ZnakSprawyPrzedPrzeniesieniem">
    <vt:lpwstr/>
  </property>
  <property fmtid="{D5CDD505-2E9C-101B-9397-08002B2CF9AE}" pid="8" name="Autor">
    <vt:lpwstr>Wyrzykowska Aneta</vt:lpwstr>
  </property>
  <property fmtid="{D5CDD505-2E9C-101B-9397-08002B2CF9AE}" pid="9" name="AutorNumer">
    <vt:lpwstr/>
  </property>
  <property fmtid="{D5CDD505-2E9C-101B-9397-08002B2CF9AE}" pid="10" name="AutorKomorkaNadrzedna">
    <vt:lpwstr>Dyrektor Biura Zarządzania Bezpieczeństwem Informacji(BI)</vt:lpwstr>
  </property>
  <property fmtid="{D5CDD505-2E9C-101B-9397-08002B2CF9AE}" pid="11" name="AutorInicjaly">
    <vt:lpwstr>AW</vt:lpwstr>
  </property>
  <property fmtid="{D5CDD505-2E9C-101B-9397-08002B2CF9AE}" pid="12" name="AutorNrTelefonu">
    <vt:lpwstr>(022) 608-3114</vt:lpwstr>
  </property>
  <property fmtid="{D5CDD505-2E9C-101B-9397-08002B2CF9AE}" pid="13" name="Stanowisko">
    <vt:lpwstr>starszy specjalista</vt:lpwstr>
  </property>
  <property fmtid="{D5CDD505-2E9C-101B-9397-08002B2CF9AE}" pid="14" name="OpisPisma">
    <vt:lpwstr>Opis założeń projektu informatycznego: „System Satelitarnego Monitorowania Upraw Rolnych (S2MUR) – Etap 1”</vt:lpwstr>
  </property>
  <property fmtid="{D5CDD505-2E9C-101B-9397-08002B2CF9AE}" pid="15" name="Komorka">
    <vt:lpwstr>Prezes GUS</vt:lpwstr>
  </property>
  <property fmtid="{D5CDD505-2E9C-101B-9397-08002B2CF9AE}" pid="16" name="KodKomorki">
    <vt:lpwstr>Prezes GUS</vt:lpwstr>
  </property>
  <property fmtid="{D5CDD505-2E9C-101B-9397-08002B2CF9AE}" pid="17" name="AktualnaData">
    <vt:lpwstr>2026-03-12</vt:lpwstr>
  </property>
  <property fmtid="{D5CDD505-2E9C-101B-9397-08002B2CF9AE}" pid="18" name="Wydzial">
    <vt:lpwstr>Wydział Zarządzania Kryzysowego i Spraw Obronnych</vt:lpwstr>
  </property>
  <property fmtid="{D5CDD505-2E9C-101B-9397-08002B2CF9AE}" pid="19" name="KodWydzialu">
    <vt:lpwstr>BI-03</vt:lpwstr>
  </property>
  <property fmtid="{D5CDD505-2E9C-101B-9397-08002B2CF9AE}" pid="20" name="ZaakceptowanePrzez">
    <vt:lpwstr>n/d</vt:lpwstr>
  </property>
  <property fmtid="{D5CDD505-2E9C-101B-9397-08002B2CF9AE}" pid="21" name="PrzekazanieDo">
    <vt:lpwstr>Dyrektor Departamentu Metodologii i Jakości Badań(MJ)</vt:lpwstr>
  </property>
  <property fmtid="{D5CDD505-2E9C-101B-9397-08002B2CF9AE}" pid="22" name="PrzekazanieDoStanowisko">
    <vt:lpwstr/>
  </property>
  <property fmtid="{D5CDD505-2E9C-101B-9397-08002B2CF9AE}" pid="23" name="PrzekazanieDoKomorkaPracownika">
    <vt:lpwstr/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>MINISTERSTWO CYFRYZACJI</vt:lpwstr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>KRÓLEWSKA</vt:lpwstr>
  </property>
  <property fmtid="{D5CDD505-2E9C-101B-9397-08002B2CF9AE}" pid="31" name="adresNrDomu">
    <vt:lpwstr>27</vt:lpwstr>
  </property>
  <property fmtid="{D5CDD505-2E9C-101B-9397-08002B2CF9AE}" pid="32" name="adresNrLokalu">
    <vt:lpwstr/>
  </property>
  <property fmtid="{D5CDD505-2E9C-101B-9397-08002B2CF9AE}" pid="33" name="adresKodPocztowy">
    <vt:lpwstr>00-060</vt:lpwstr>
  </property>
  <property fmtid="{D5CDD505-2E9C-101B-9397-08002B2CF9AE}" pid="34" name="adresMiejscowosc">
    <vt:lpwstr>WARSZAWA (ŚRÓDMIEŚCIE)</vt:lpwstr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2026-03-11 13:05:33</vt:lpwstr>
  </property>
  <property fmtid="{D5CDD505-2E9C-101B-9397-08002B2CF9AE}" pid="41" name="TematSprawy">
    <vt:lpwstr>Opisy założeń projektów informatycznych 2026</vt:lpwstr>
  </property>
  <property fmtid="{D5CDD505-2E9C-101B-9397-08002B2CF9AE}" pid="42" name="ProwadzacySprawe">
    <vt:lpwstr>Więcek Joanna</vt:lpwstr>
  </property>
  <property fmtid="{D5CDD505-2E9C-101B-9397-08002B2CF9AE}" pid="43" name="StopienSluzbowy">
    <vt:lpwstr/>
  </property>
  <property fmtid="{D5CDD505-2E9C-101B-9397-08002B2CF9AE}" pid="44" name="KodKreskowy">
    <vt:lpwstr> </vt:lpwstr>
  </property>
  <property fmtid="{D5CDD505-2E9C-101B-9397-08002B2CF9AE}" pid="45" name="TrescPisma">
    <vt:lpwstr/>
  </property>
</Properties>
</file>